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外语学院直属党支部“四责协同”责任分解图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numPr>
          <w:numId w:val="0"/>
        </w:numPr>
        <w:spacing w:line="300" w:lineRule="auto"/>
        <w:jc w:val="left"/>
        <w:rPr>
          <w:rFonts w:hint="eastAsia" w:ascii="微软雅黑" w:hAnsi="微软雅黑" w:eastAsia="微软雅黑" w:cs="微软雅黑"/>
          <w:b w:val="0"/>
          <w:color w:val="000000"/>
          <w:sz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000000"/>
          <w:sz w:val="21"/>
          <w:lang w:eastAsia="zh-CN"/>
        </w:rPr>
        <w:drawing>
          <wp:inline distT="0" distB="0" distL="114300" distR="114300">
            <wp:extent cx="5938520" cy="4356735"/>
            <wp:effectExtent l="0" t="0" r="5080" b="12065"/>
            <wp:docPr id="1" name="图片 1" descr="“四责协同”任务分解2（定稿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“四责协同”任务分解2（定稿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8520" cy="435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000000"/>
    <w:rsid w:val="6A822B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2020-07-20T06:49:18Z</dcterms:created>
  <dc:creator>lenovo</dc:creator>
  <cp:lastModifiedBy>小团子</cp:lastModifiedBy>
  <dcterms:modified xsi:type="dcterms:W3CDTF">2020-07-20T06:50:45Z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